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7E3E40" w:rsidP="006E53C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6-17-19</w:t>
            </w: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sidRPr="007E3E40">
              <w:rPr>
                <w:rFonts w:ascii="Calibri" w:eastAsia="Times New Roman" w:hAnsi="Calibri" w:cs="Calibri"/>
                <w:b/>
                <w:color w:val="000000"/>
                <w:highlight w:val="yellow"/>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7E3E40">
              <w:rPr>
                <w:rFonts w:ascii="Calibri" w:eastAsia="Times New Roman" w:hAnsi="Calibri" w:cs="Calibri"/>
                <w:b/>
                <w:bCs/>
                <w:color w:val="000000"/>
              </w:rPr>
              <w:t xml:space="preserve"> Mathematics</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7E3E40">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7E3E40">
            <w:pPr>
              <w:spacing w:after="0" w:line="240" w:lineRule="auto"/>
              <w:contextualSpacing w:val="0"/>
              <w:rPr>
                <w:rFonts w:ascii="Calibri" w:eastAsia="Times New Roman" w:hAnsi="Calibri" w:cs="Calibri"/>
                <w:b/>
                <w:bCs/>
                <w:color w:val="000000"/>
              </w:rPr>
            </w:pPr>
          </w:p>
          <w:p w:rsidR="006C6F3E" w:rsidRDefault="007E3E40"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Mathematics and Science</w:t>
            </w:r>
          </w:p>
          <w:p w:rsidR="006E53C2" w:rsidRPr="006E53C2" w:rsidRDefault="006E53C2" w:rsidP="007E3E40">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7E3E40">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7E3E40">
            <w:pPr>
              <w:spacing w:after="0" w:line="240" w:lineRule="auto"/>
              <w:contextualSpacing w:val="0"/>
              <w:rPr>
                <w:rFonts w:ascii="Calibri" w:eastAsia="Times New Roman" w:hAnsi="Calibri" w:cs="Calibri"/>
                <w:b/>
                <w:bCs/>
                <w:color w:val="000000"/>
              </w:rPr>
            </w:pPr>
          </w:p>
          <w:p w:rsidR="006C6F3E" w:rsidRDefault="006C6F3E" w:rsidP="007E3E40">
            <w:pPr>
              <w:spacing w:after="0" w:line="240" w:lineRule="auto"/>
              <w:contextualSpacing w:val="0"/>
              <w:rPr>
                <w:rFonts w:ascii="Calibri" w:eastAsia="Times New Roman" w:hAnsi="Calibri" w:cs="Calibri"/>
                <w:b/>
                <w:bCs/>
                <w:color w:val="000000"/>
              </w:rPr>
            </w:pPr>
          </w:p>
          <w:p w:rsidR="006E53C2" w:rsidRPr="006E53C2" w:rsidRDefault="007E3E40"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NA</w:t>
            </w:r>
            <w:r w:rsidR="006E53C2"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7E3E40"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1) Use appropriate mathematics to solve problems.</w:t>
            </w:r>
          </w:p>
          <w:p w:rsidR="007E3E40" w:rsidRDefault="00C025A6"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2) R</w:t>
            </w:r>
            <w:r w:rsidR="007E3E40">
              <w:rPr>
                <w:rFonts w:ascii="Calibri" w:eastAsia="Times New Roman" w:hAnsi="Calibri" w:cs="Calibri"/>
                <w:color w:val="000000"/>
              </w:rPr>
              <w:t>ecognize which math concepts are applicable to a given scenario.</w:t>
            </w:r>
          </w:p>
          <w:p w:rsidR="006C6F3E" w:rsidRDefault="006C6F3E" w:rsidP="007E3E40">
            <w:pPr>
              <w:spacing w:after="0" w:line="240" w:lineRule="auto"/>
              <w:contextualSpacing w:val="0"/>
              <w:rPr>
                <w:rFonts w:ascii="Calibri" w:eastAsia="Times New Roman" w:hAnsi="Calibri" w:cs="Calibri"/>
                <w:color w:val="000000"/>
              </w:rPr>
            </w:pPr>
          </w:p>
          <w:p w:rsidR="006E53C2" w:rsidRPr="006E53C2" w:rsidRDefault="006E53C2" w:rsidP="007E3E40">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7E3E40">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7E3E40"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Matteo, Winn, Stinnett, Kramer</w:t>
            </w:r>
          </w:p>
        </w:tc>
      </w:tr>
    </w:tbl>
    <w:p w:rsidR="006C6F3E" w:rsidRDefault="006C6F3E" w:rsidP="007E3E40">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rsidR="00B06F01" w:rsidRPr="006E53C2" w:rsidRDefault="00B06F01"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7E3E40">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B06F01" w:rsidP="007E3E40">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7E3E40">
              <w:rPr>
                <w:rFonts w:ascii="Calibri" w:eastAsia="Times New Roman" w:hAnsi="Calibri" w:cs="Calibri"/>
                <w:color w:val="000000"/>
              </w:rPr>
              <w:t>Mostly, but some need review and revision – namely MTH’s 243 and 98.</w:t>
            </w:r>
            <w:r w:rsidR="00782356">
              <w:rPr>
                <w:rFonts w:ascii="Calibri" w:eastAsia="Times New Roman" w:hAnsi="Calibri" w:cs="Calibri"/>
                <w:color w:val="000000"/>
              </w:rPr>
              <w:t xml:space="preserve"> We need to update our Outlines folders for one clear location.</w:t>
            </w:r>
          </w:p>
        </w:tc>
      </w:tr>
      <w:tr w:rsidR="00B06F01" w:rsidRPr="006E53C2" w:rsidTr="00C04494">
        <w:trPr>
          <w:trHeight w:val="1152"/>
        </w:trPr>
        <w:tc>
          <w:tcPr>
            <w:tcW w:w="4765" w:type="dxa"/>
            <w:shd w:val="clear" w:color="auto" w:fill="auto"/>
            <w:vAlign w:val="center"/>
          </w:tcPr>
          <w:p w:rsidR="00B06F01" w:rsidRPr="00F20858" w:rsidRDefault="00B06F01" w:rsidP="007E3E40">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B06F01" w:rsidP="007E3E40">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7E3E40">
              <w:rPr>
                <w:rFonts w:ascii="Calibri" w:eastAsia="Times New Roman" w:hAnsi="Calibri" w:cs="Calibri"/>
                <w:color w:val="000000"/>
              </w:rPr>
              <w:t>NA</w:t>
            </w:r>
          </w:p>
        </w:tc>
      </w:tr>
      <w:tr w:rsidR="00B06F01" w:rsidRPr="006E53C2" w:rsidTr="00C04494">
        <w:trPr>
          <w:trHeight w:val="1152"/>
        </w:trPr>
        <w:tc>
          <w:tcPr>
            <w:tcW w:w="4765" w:type="dxa"/>
            <w:shd w:val="clear" w:color="auto" w:fill="auto"/>
            <w:vAlign w:val="center"/>
            <w:hideMark/>
          </w:tcPr>
          <w:p w:rsidR="00B06F01" w:rsidRPr="00F20858" w:rsidRDefault="00B06F01" w:rsidP="007E3E40">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B06F01" w:rsidP="007E3E40">
            <w:pPr>
              <w:spacing w:after="0" w:line="240" w:lineRule="auto"/>
              <w:contextualSpacing w:val="0"/>
              <w:rPr>
                <w:rFonts w:ascii="Calibri" w:eastAsia="Times New Roman" w:hAnsi="Calibri" w:cs="Calibri"/>
                <w:color w:val="000000"/>
              </w:rPr>
            </w:pPr>
          </w:p>
          <w:p w:rsidR="00B06F01" w:rsidRDefault="007E3E40"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No, needs work and clarity. We’re not exactly sure what this is and involves.</w:t>
            </w:r>
          </w:p>
          <w:p w:rsidR="00B06F01" w:rsidRPr="006E53C2" w:rsidRDefault="00B06F01" w:rsidP="007E3E40">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7E3E40"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but review is lacking, especially at the 100+ level courses and sequences.</w:t>
            </w:r>
          </w:p>
        </w:tc>
      </w:tr>
      <w:tr w:rsidR="00B06F01" w:rsidRPr="006E53C2" w:rsidTr="00C04494">
        <w:trPr>
          <w:trHeight w:val="1152"/>
        </w:trPr>
        <w:tc>
          <w:tcPr>
            <w:tcW w:w="4765" w:type="dxa"/>
            <w:shd w:val="clear" w:color="auto" w:fill="auto"/>
            <w:vAlign w:val="center"/>
          </w:tcPr>
          <w:p w:rsidR="00B06F01" w:rsidRPr="00C04494" w:rsidRDefault="00C04494"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673DE2"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For our MTH60/65/95 sequence, we have reviewed assessment results, implemented changes. We’ve even changed our assessment procedure to give more meaningful results. Now we just need to do the same for our 100+ level courses.</w:t>
            </w:r>
          </w:p>
        </w:tc>
      </w:tr>
      <w:tr w:rsidR="00F20858" w:rsidRPr="006E53C2" w:rsidTr="00C04494">
        <w:trPr>
          <w:trHeight w:val="1152"/>
        </w:trPr>
        <w:tc>
          <w:tcPr>
            <w:tcW w:w="4765" w:type="dxa"/>
            <w:shd w:val="clear" w:color="auto" w:fill="auto"/>
            <w:vAlign w:val="center"/>
          </w:tcPr>
          <w:p w:rsidR="00F20858" w:rsidRPr="00C04494" w:rsidRDefault="00F20858"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673DE2"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Basically same as above. We plan to create similar assessment tools for 100+ level courses over the summer.</w:t>
            </w:r>
          </w:p>
        </w:tc>
      </w:tr>
      <w:tr w:rsidR="00B06F01" w:rsidRPr="006E53C2" w:rsidTr="00C04494">
        <w:trPr>
          <w:trHeight w:val="1152"/>
        </w:trPr>
        <w:tc>
          <w:tcPr>
            <w:tcW w:w="4765" w:type="dxa"/>
            <w:shd w:val="clear" w:color="auto" w:fill="auto"/>
            <w:vAlign w:val="center"/>
          </w:tcPr>
          <w:p w:rsidR="00B06F01" w:rsidRPr="00C04494" w:rsidRDefault="00B06F01" w:rsidP="007E3E40">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C025A6" w:rsidP="007E3E40">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Several examples of adjusting curriculum, but on more of an individual basis.</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Default="00673DE2" w:rsidP="00673DE2">
            <w:pPr>
              <w:pStyle w:val="ListParagraph"/>
              <w:numPr>
                <w:ilvl w:val="0"/>
                <w:numId w:val="13"/>
              </w:numPr>
              <w:spacing w:after="0" w:line="240" w:lineRule="auto"/>
              <w:contextualSpacing w:val="0"/>
              <w:rPr>
                <w:rFonts w:ascii="Calibri" w:eastAsia="Times New Roman" w:hAnsi="Calibri" w:cs="Calibri"/>
                <w:color w:val="000000"/>
              </w:rPr>
            </w:pPr>
            <w:r>
              <w:rPr>
                <w:rFonts w:ascii="Calibri" w:eastAsia="Times New Roman" w:hAnsi="Calibri" w:cs="Calibri"/>
                <w:color w:val="000000"/>
              </w:rPr>
              <w:t>Access to IR reports on FTE, which we currently get.</w:t>
            </w:r>
          </w:p>
          <w:p w:rsidR="00673DE2" w:rsidRDefault="00673DE2" w:rsidP="00673DE2">
            <w:pPr>
              <w:pStyle w:val="ListParagraph"/>
              <w:numPr>
                <w:ilvl w:val="0"/>
                <w:numId w:val="13"/>
              </w:num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Regular enrollment reports, which we currently get.</w:t>
            </w:r>
          </w:p>
          <w:p w:rsidR="00673DE2" w:rsidRPr="00673DE2" w:rsidRDefault="00673DE2" w:rsidP="00673DE2">
            <w:pPr>
              <w:pStyle w:val="ListParagraph"/>
              <w:numPr>
                <w:ilvl w:val="0"/>
                <w:numId w:val="13"/>
              </w:numPr>
              <w:spacing w:after="0" w:line="240" w:lineRule="auto"/>
              <w:contextualSpacing w:val="0"/>
              <w:rPr>
                <w:rFonts w:ascii="Calibri" w:eastAsia="Times New Roman" w:hAnsi="Calibri" w:cs="Calibri"/>
                <w:color w:val="000000"/>
              </w:rPr>
            </w:pPr>
            <w:r>
              <w:rPr>
                <w:rFonts w:ascii="Calibri" w:eastAsia="Times New Roman" w:hAnsi="Calibri" w:cs="Calibri"/>
                <w:color w:val="000000"/>
              </w:rPr>
              <w:t>Look at enrollment per faculty member to address a severe lack of staffing.</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673DE2" w:rsidRDefault="00673DE2" w:rsidP="00673DE2">
            <w:pPr>
              <w:pStyle w:val="ListParagraph"/>
              <w:numPr>
                <w:ilvl w:val="0"/>
                <w:numId w:val="14"/>
              </w:num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External mitigation factors – recent high school students lacking foundational academic skills (study habits, regular and persistent attendance, </w:t>
            </w:r>
            <w:proofErr w:type="spellStart"/>
            <w:r>
              <w:rPr>
                <w:rFonts w:ascii="Calibri" w:eastAsia="Times New Roman" w:hAnsi="Calibri" w:cs="Calibri"/>
                <w:color w:val="000000"/>
              </w:rPr>
              <w:t>etc</w:t>
            </w:r>
            <w:proofErr w:type="spellEnd"/>
            <w:r>
              <w:rPr>
                <w:rFonts w:ascii="Calibri" w:eastAsia="Times New Roman" w:hAnsi="Calibri" w:cs="Calibri"/>
                <w:color w:val="000000"/>
              </w:rPr>
              <w:t>), an overabundance of online solutions resources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73DE2">
              <w:rPr>
                <w:rFonts w:ascii="Calibri" w:eastAsia="Times New Roman" w:hAnsi="Calibri" w:cs="Calibri"/>
                <w:color w:val="000000"/>
              </w:rPr>
              <w:t>We try to offer broad offerings since we are mainly a support program. However, recent budget decisions forced us to offer less.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73DE2">
              <w:rPr>
                <w:rFonts w:ascii="Calibri" w:eastAsia="Times New Roman" w:hAnsi="Calibri" w:cs="Calibri"/>
                <w:color w:val="000000"/>
              </w:rPr>
              <w:t xml:space="preserve">Yes – office hours, many tutoring resources (Library, TOP, Smart Thinking and </w:t>
            </w:r>
            <w:proofErr w:type="spellStart"/>
            <w:r w:rsidR="00673DE2">
              <w:rPr>
                <w:rFonts w:ascii="Calibri" w:eastAsia="Times New Roman" w:hAnsi="Calibri" w:cs="Calibri"/>
                <w:color w:val="000000"/>
              </w:rPr>
              <w:t>MyMathLab</w:t>
            </w:r>
            <w:proofErr w:type="spellEnd"/>
            <w:r w:rsidR="00673DE2">
              <w:rPr>
                <w:rFonts w:ascii="Calibri" w:eastAsia="Times New Roman" w:hAnsi="Calibri" w:cs="Calibri"/>
                <w:color w:val="000000"/>
              </w:rPr>
              <w:t>)</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673DE2" w:rsidP="00673DE2">
            <w:pPr>
              <w:pStyle w:val="ListParagraph"/>
              <w:numPr>
                <w:ilvl w:val="0"/>
                <w:numId w:val="14"/>
              </w:num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Reinstated the High School Math Competition</w:t>
            </w:r>
          </w:p>
          <w:p w:rsidR="00673DE2" w:rsidRDefault="00673DE2" w:rsidP="00673DE2">
            <w:pPr>
              <w:pStyle w:val="ListParagraph"/>
              <w:numPr>
                <w:ilvl w:val="0"/>
                <w:numId w:val="14"/>
              </w:numPr>
              <w:spacing w:after="0" w:line="240" w:lineRule="auto"/>
              <w:contextualSpacing w:val="0"/>
              <w:rPr>
                <w:rFonts w:ascii="Calibri" w:eastAsia="Times New Roman" w:hAnsi="Calibri" w:cs="Calibri"/>
                <w:color w:val="000000"/>
              </w:rPr>
            </w:pPr>
            <w:r>
              <w:rPr>
                <w:rFonts w:ascii="Calibri" w:eastAsia="Times New Roman" w:hAnsi="Calibri" w:cs="Calibri"/>
                <w:color w:val="000000"/>
              </w:rPr>
              <w:t>Have a table at all College recruiting events</w:t>
            </w:r>
          </w:p>
          <w:p w:rsidR="00673DE2" w:rsidRPr="00673DE2" w:rsidRDefault="00673DE2" w:rsidP="00673DE2">
            <w:pPr>
              <w:pStyle w:val="ListParagraph"/>
              <w:numPr>
                <w:ilvl w:val="0"/>
                <w:numId w:val="14"/>
              </w:numPr>
              <w:spacing w:after="0" w:line="240" w:lineRule="auto"/>
              <w:contextualSpacing w:val="0"/>
              <w:rPr>
                <w:rFonts w:ascii="Calibri" w:eastAsia="Times New Roman" w:hAnsi="Calibri" w:cs="Calibri"/>
                <w:color w:val="000000"/>
              </w:rPr>
            </w:pPr>
            <w:r>
              <w:rPr>
                <w:rFonts w:ascii="Calibri" w:eastAsia="Times New Roman" w:hAnsi="Calibri" w:cs="Calibri"/>
                <w:color w:val="000000"/>
              </w:rPr>
              <w:t>Robust Dual Credit program</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73DE2">
              <w:rPr>
                <w:rFonts w:ascii="Calibri" w:eastAsia="Times New Roman" w:hAnsi="Calibri" w:cs="Calibri"/>
                <w:color w:val="000000"/>
              </w:rPr>
              <w:t>Feedback from programs we serve</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673DE2"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673DE2"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4E65AD"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Numbers relate to College Goals:</w:t>
            </w:r>
          </w:p>
          <w:p w:rsidR="004E65AD" w:rsidRDefault="004E65AD"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1. We strive to make Math classes thorough, but also fun and enjoyable.</w:t>
            </w:r>
          </w:p>
          <w:p w:rsidR="004E65AD" w:rsidRDefault="004E65AD"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2. </w:t>
            </w:r>
            <w:r w:rsidR="00C025A6">
              <w:rPr>
                <w:rFonts w:ascii="Calibri" w:eastAsia="Times New Roman" w:hAnsi="Calibri" w:cs="Calibri"/>
                <w:color w:val="000000"/>
              </w:rPr>
              <w:t>We embody high-quality instruction, but always seek to improve.</w:t>
            </w:r>
          </w:p>
          <w:p w:rsidR="00C025A6" w:rsidRDefault="00C025A6"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3. Continue to offer the High School Math Competition as well as represent the area at recruiting events.</w:t>
            </w:r>
          </w:p>
          <w:p w:rsidR="00C025A6" w:rsidRDefault="00C025A6" w:rsidP="00C025A6">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4. Willing to present informational talks.</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837"/>
        <w:gridCol w:w="4784"/>
      </w:tblGrid>
      <w:tr w:rsidR="00DF2F8B" w:rsidRPr="0000300C" w:rsidTr="006E6269">
        <w:trPr>
          <w:trHeight w:val="1970"/>
        </w:trPr>
        <w:tc>
          <w:tcPr>
            <w:tcW w:w="14760" w:type="dxa"/>
            <w:gridSpan w:val="3"/>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6E6269">
        <w:trPr>
          <w:trHeight w:val="300"/>
        </w:trPr>
        <w:tc>
          <w:tcPr>
            <w:tcW w:w="5139" w:type="dxa"/>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6E6269">
        <w:trPr>
          <w:trHeight w:val="1296"/>
        </w:trPr>
        <w:tc>
          <w:tcPr>
            <w:tcW w:w="5139" w:type="dxa"/>
            <w:shd w:val="clear" w:color="auto" w:fill="auto"/>
            <w:vAlign w:val="center"/>
          </w:tcPr>
          <w:p w:rsidR="00DF2F8B" w:rsidRPr="00DF2F8B" w:rsidRDefault="00673DE2"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Create standard assessment tools for 100+ level courses and sequences</w:t>
            </w:r>
          </w:p>
        </w:tc>
        <w:tc>
          <w:tcPr>
            <w:tcW w:w="4837" w:type="dxa"/>
            <w:shd w:val="clear" w:color="auto" w:fill="auto"/>
            <w:vAlign w:val="center"/>
          </w:tcPr>
          <w:p w:rsidR="00DF2F8B" w:rsidRPr="00DF2F8B" w:rsidRDefault="00782356"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Develop and implement standard assessment tools for MTH’s 243, 251 and 252.</w:t>
            </w:r>
          </w:p>
        </w:tc>
        <w:tc>
          <w:tcPr>
            <w:tcW w:w="4784" w:type="dxa"/>
            <w:shd w:val="clear" w:color="auto" w:fill="auto"/>
            <w:vAlign w:val="center"/>
          </w:tcPr>
          <w:p w:rsidR="00DF2F8B" w:rsidRPr="00DF2F8B" w:rsidRDefault="00782356" w:rsidP="0078235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Develop and implement standard assessment tools for </w:t>
            </w:r>
            <w:r>
              <w:rPr>
                <w:rFonts w:ascii="Calibri" w:eastAsia="Times New Roman" w:hAnsi="Calibri" w:cs="Calibri"/>
                <w:color w:val="000000"/>
              </w:rPr>
              <w:t>all college-level courses.</w:t>
            </w:r>
          </w:p>
        </w:tc>
      </w:tr>
      <w:tr w:rsidR="00DF2F8B" w:rsidRPr="0000300C" w:rsidTr="006E6269">
        <w:trPr>
          <w:trHeight w:val="1296"/>
        </w:trPr>
        <w:tc>
          <w:tcPr>
            <w:tcW w:w="5139" w:type="dxa"/>
            <w:shd w:val="clear" w:color="auto" w:fill="auto"/>
            <w:vAlign w:val="center"/>
          </w:tcPr>
          <w:p w:rsidR="00DF2F8B" w:rsidRPr="00DF2F8B" w:rsidRDefault="00673DE2" w:rsidP="006E626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Assess most courses offered in the academic year with new standard tools, but </w:t>
            </w:r>
            <w:r w:rsidR="006E6269">
              <w:rPr>
                <w:rFonts w:ascii="Calibri" w:eastAsia="Times New Roman" w:hAnsi="Calibri" w:cs="Calibri"/>
                <w:color w:val="000000"/>
              </w:rPr>
              <w:t>at least</w:t>
            </w:r>
            <w:r>
              <w:rPr>
                <w:rFonts w:ascii="Calibri" w:eastAsia="Times New Roman" w:hAnsi="Calibri" w:cs="Calibri"/>
                <w:color w:val="000000"/>
              </w:rPr>
              <w:t xml:space="preserve"> MTH’s 111, 112</w:t>
            </w:r>
          </w:p>
        </w:tc>
        <w:tc>
          <w:tcPr>
            <w:tcW w:w="4837" w:type="dxa"/>
            <w:shd w:val="clear" w:color="auto" w:fill="auto"/>
            <w:vAlign w:val="center"/>
          </w:tcPr>
          <w:p w:rsidR="00DF2F8B" w:rsidRPr="00DF2F8B" w:rsidRDefault="006E6269"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Based on assessment results, possibly create supplemental online modules for calculator instruction.</w:t>
            </w:r>
          </w:p>
        </w:tc>
        <w:tc>
          <w:tcPr>
            <w:tcW w:w="4784" w:type="dxa"/>
            <w:shd w:val="clear" w:color="auto" w:fill="auto"/>
            <w:vAlign w:val="center"/>
          </w:tcPr>
          <w:p w:rsidR="00DF2F8B" w:rsidRPr="00DF2F8B" w:rsidRDefault="006E6269"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Based on assessment results, possibly create week 1 quiz to insure proper placement</w:t>
            </w:r>
          </w:p>
        </w:tc>
      </w:tr>
      <w:tr w:rsidR="00DF2F8B" w:rsidRPr="0000300C" w:rsidTr="006E6269">
        <w:trPr>
          <w:trHeight w:val="1296"/>
        </w:trPr>
        <w:tc>
          <w:tcPr>
            <w:tcW w:w="5139" w:type="dxa"/>
            <w:shd w:val="clear" w:color="auto" w:fill="auto"/>
            <w:vAlign w:val="center"/>
          </w:tcPr>
          <w:p w:rsidR="00DF2F8B" w:rsidRPr="00DF2F8B" w:rsidRDefault="00782356"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Update Outlines on G-drive in one clear location to insure instructors are using correct outcomes.</w:t>
            </w:r>
          </w:p>
        </w:tc>
        <w:tc>
          <w:tcPr>
            <w:tcW w:w="4837" w:type="dxa"/>
            <w:shd w:val="clear" w:color="auto" w:fill="auto"/>
            <w:vAlign w:val="center"/>
          </w:tcPr>
          <w:p w:rsidR="00DF2F8B" w:rsidRPr="00DF2F8B" w:rsidRDefault="006E6269"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Assess dual credit instruction</w:t>
            </w:r>
          </w:p>
        </w:tc>
        <w:tc>
          <w:tcPr>
            <w:tcW w:w="4784" w:type="dxa"/>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6E6269">
        <w:trPr>
          <w:trHeight w:val="1296"/>
        </w:trPr>
        <w:tc>
          <w:tcPr>
            <w:tcW w:w="5139" w:type="dxa"/>
            <w:shd w:val="clear" w:color="auto" w:fill="auto"/>
            <w:vAlign w:val="center"/>
          </w:tcPr>
          <w:p w:rsidR="00DF2F8B" w:rsidRPr="00DF2F8B" w:rsidRDefault="00782356"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Update outcomes for MTH243 to follow standard format (there’s too many currently).</w:t>
            </w:r>
          </w:p>
        </w:tc>
        <w:tc>
          <w:tcPr>
            <w:tcW w:w="4837" w:type="dxa"/>
            <w:shd w:val="clear" w:color="auto" w:fill="auto"/>
            <w:vAlign w:val="center"/>
          </w:tcPr>
          <w:p w:rsidR="00DF2F8B" w:rsidRPr="00DF2F8B" w:rsidRDefault="00DF2F8B" w:rsidP="006E6269">
            <w:pPr>
              <w:spacing w:after="0" w:line="240" w:lineRule="auto"/>
              <w:contextualSpacing w:val="0"/>
              <w:rPr>
                <w:rFonts w:ascii="Calibri" w:eastAsia="Times New Roman" w:hAnsi="Calibri" w:cs="Calibri"/>
                <w:color w:val="000000"/>
              </w:rPr>
            </w:pPr>
          </w:p>
        </w:tc>
        <w:tc>
          <w:tcPr>
            <w:tcW w:w="4784" w:type="dxa"/>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782356" w:rsidRPr="0000300C" w:rsidTr="006E6269">
        <w:trPr>
          <w:trHeight w:val="1296"/>
        </w:trPr>
        <w:tc>
          <w:tcPr>
            <w:tcW w:w="5139" w:type="dxa"/>
            <w:shd w:val="clear" w:color="auto" w:fill="auto"/>
            <w:vAlign w:val="center"/>
          </w:tcPr>
          <w:p w:rsidR="00782356" w:rsidRDefault="00782356"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Standardize instructor requirements, and credit requirements for dual credit instruction.</w:t>
            </w:r>
          </w:p>
        </w:tc>
        <w:tc>
          <w:tcPr>
            <w:tcW w:w="4837" w:type="dxa"/>
            <w:shd w:val="clear" w:color="auto" w:fill="auto"/>
            <w:vAlign w:val="center"/>
          </w:tcPr>
          <w:p w:rsidR="00782356" w:rsidRPr="00DF2F8B" w:rsidRDefault="00782356" w:rsidP="00DF2F8B">
            <w:pPr>
              <w:spacing w:after="0" w:line="240" w:lineRule="auto"/>
              <w:contextualSpacing w:val="0"/>
              <w:rPr>
                <w:rFonts w:ascii="Calibri" w:eastAsia="Times New Roman" w:hAnsi="Calibri" w:cs="Calibri"/>
                <w:color w:val="000000"/>
              </w:rPr>
            </w:pPr>
          </w:p>
        </w:tc>
        <w:tc>
          <w:tcPr>
            <w:tcW w:w="4784" w:type="dxa"/>
            <w:shd w:val="clear" w:color="auto" w:fill="auto"/>
            <w:vAlign w:val="center"/>
          </w:tcPr>
          <w:p w:rsidR="00782356" w:rsidRPr="00DF2F8B" w:rsidRDefault="00782356" w:rsidP="00DF2F8B">
            <w:pPr>
              <w:spacing w:after="0" w:line="240" w:lineRule="auto"/>
              <w:contextualSpacing w:val="0"/>
              <w:rPr>
                <w:rFonts w:ascii="Calibri" w:eastAsia="Times New Roman" w:hAnsi="Calibri" w:cs="Calibri"/>
                <w:color w:val="000000"/>
              </w:rPr>
            </w:pPr>
          </w:p>
        </w:tc>
      </w:tr>
      <w:tr w:rsidR="00DF2F8B" w:rsidRPr="0000300C" w:rsidTr="006E6269">
        <w:trPr>
          <w:trHeight w:val="1296"/>
        </w:trPr>
        <w:tc>
          <w:tcPr>
            <w:tcW w:w="5139" w:type="dxa"/>
            <w:shd w:val="clear" w:color="auto" w:fill="auto"/>
            <w:vAlign w:val="center"/>
          </w:tcPr>
          <w:p w:rsidR="00DF2F8B" w:rsidRPr="00DF2F8B" w:rsidRDefault="00782356"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lastRenderedPageBreak/>
              <w:t xml:space="preserve">Update assessment for MTH’s 60, 65, </w:t>
            </w:r>
            <w:proofErr w:type="gramStart"/>
            <w:r>
              <w:rPr>
                <w:rFonts w:ascii="Calibri" w:eastAsia="Times New Roman" w:hAnsi="Calibri" w:cs="Calibri"/>
                <w:color w:val="000000"/>
              </w:rPr>
              <w:t>95</w:t>
            </w:r>
            <w:proofErr w:type="gramEnd"/>
            <w:r>
              <w:rPr>
                <w:rFonts w:ascii="Calibri" w:eastAsia="Times New Roman" w:hAnsi="Calibri" w:cs="Calibri"/>
                <w:color w:val="000000"/>
              </w:rPr>
              <w:t>.</w:t>
            </w:r>
          </w:p>
        </w:tc>
        <w:tc>
          <w:tcPr>
            <w:tcW w:w="4837" w:type="dxa"/>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6E6269" w:rsidRPr="0000300C" w:rsidTr="006E6269">
        <w:trPr>
          <w:trHeight w:val="1296"/>
        </w:trPr>
        <w:tc>
          <w:tcPr>
            <w:tcW w:w="5139" w:type="dxa"/>
            <w:shd w:val="clear" w:color="auto" w:fill="auto"/>
            <w:vAlign w:val="center"/>
          </w:tcPr>
          <w:p w:rsidR="006E6269" w:rsidRDefault="006E6269"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assessment results and adjust course content as necessary</w:t>
            </w:r>
          </w:p>
        </w:tc>
        <w:tc>
          <w:tcPr>
            <w:tcW w:w="4837" w:type="dxa"/>
            <w:shd w:val="clear" w:color="auto" w:fill="auto"/>
            <w:vAlign w:val="center"/>
          </w:tcPr>
          <w:p w:rsidR="006E6269" w:rsidRPr="00DF2F8B" w:rsidRDefault="006E6269"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assessment results and adjust course content as necessary</w:t>
            </w:r>
          </w:p>
        </w:tc>
        <w:tc>
          <w:tcPr>
            <w:tcW w:w="4784" w:type="dxa"/>
            <w:shd w:val="clear" w:color="auto" w:fill="auto"/>
            <w:vAlign w:val="center"/>
          </w:tcPr>
          <w:p w:rsidR="006E6269" w:rsidRPr="00DF2F8B" w:rsidRDefault="006E6269"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assessment results and adjust course content as necessary</w:t>
            </w: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C025A6" w:rsidP="00C025A6">
            <w:pPr>
              <w:pStyle w:val="ListParagraph"/>
              <w:numPr>
                <w:ilvl w:val="0"/>
                <w:numId w:val="15"/>
              </w:num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Possible funding for course/module development</w:t>
            </w:r>
          </w:p>
          <w:p w:rsidR="00C025A6" w:rsidRDefault="00C025A6" w:rsidP="00C025A6">
            <w:pPr>
              <w:pStyle w:val="ListParagraph"/>
              <w:numPr>
                <w:ilvl w:val="0"/>
                <w:numId w:val="15"/>
              </w:num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Support from Assessment Coordinator with rubrics, mapping, etc.</w:t>
            </w:r>
          </w:p>
          <w:p w:rsidR="00C025A6" w:rsidRPr="00C025A6" w:rsidRDefault="00C025A6" w:rsidP="00C025A6">
            <w:pPr>
              <w:pStyle w:val="ListParagraph"/>
              <w:numPr>
                <w:ilvl w:val="0"/>
                <w:numId w:val="15"/>
              </w:num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College will provide adequate materials budget.</w:t>
            </w:r>
            <w:bookmarkStart w:id="1" w:name="_GoBack"/>
            <w:bookmarkEnd w:id="1"/>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B7" w:rsidRDefault="00595BB7" w:rsidP="00E87CE5">
      <w:pPr>
        <w:spacing w:after="0" w:line="240" w:lineRule="auto"/>
      </w:pPr>
      <w:r>
        <w:separator/>
      </w:r>
    </w:p>
  </w:endnote>
  <w:endnote w:type="continuationSeparator" w:id="0">
    <w:p w:rsidR="00595BB7" w:rsidRDefault="00595BB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C3769E">
          <w:rPr>
            <w:noProof/>
          </w:rPr>
          <w:t>9</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B7" w:rsidRDefault="00595BB7" w:rsidP="00E87CE5">
      <w:pPr>
        <w:spacing w:after="0" w:line="240" w:lineRule="auto"/>
      </w:pPr>
      <w:r>
        <w:separator/>
      </w:r>
    </w:p>
  </w:footnote>
  <w:footnote w:type="continuationSeparator" w:id="0">
    <w:p w:rsidR="00595BB7" w:rsidRDefault="00595BB7"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22FF"/>
    <w:multiLevelType w:val="hybridMultilevel"/>
    <w:tmpl w:val="8CE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C829FB"/>
    <w:multiLevelType w:val="hybridMultilevel"/>
    <w:tmpl w:val="7C6253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E0B7B"/>
    <w:multiLevelType w:val="hybridMultilevel"/>
    <w:tmpl w:val="4E3827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
  </w:num>
  <w:num w:numId="5">
    <w:abstractNumId w:val="9"/>
  </w:num>
  <w:num w:numId="6">
    <w:abstractNumId w:val="11"/>
  </w:num>
  <w:num w:numId="7">
    <w:abstractNumId w:val="2"/>
  </w:num>
  <w:num w:numId="8">
    <w:abstractNumId w:val="5"/>
  </w:num>
  <w:num w:numId="9">
    <w:abstractNumId w:val="3"/>
  </w:num>
  <w:num w:numId="10">
    <w:abstractNumId w:val="6"/>
  </w:num>
  <w:num w:numId="11">
    <w:abstractNumId w:val="0"/>
  </w:num>
  <w:num w:numId="12">
    <w:abstractNumId w:val="7"/>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3376E"/>
    <w:rsid w:val="004E65AD"/>
    <w:rsid w:val="004F18DB"/>
    <w:rsid w:val="00521C7B"/>
    <w:rsid w:val="005326DC"/>
    <w:rsid w:val="00546CA5"/>
    <w:rsid w:val="0056240F"/>
    <w:rsid w:val="0058345E"/>
    <w:rsid w:val="00595BB7"/>
    <w:rsid w:val="005B3101"/>
    <w:rsid w:val="00673822"/>
    <w:rsid w:val="00673DE2"/>
    <w:rsid w:val="00680BCE"/>
    <w:rsid w:val="006909C4"/>
    <w:rsid w:val="006939A9"/>
    <w:rsid w:val="006B69B9"/>
    <w:rsid w:val="006C6F3E"/>
    <w:rsid w:val="006D2B12"/>
    <w:rsid w:val="006E53C2"/>
    <w:rsid w:val="006E6269"/>
    <w:rsid w:val="00704507"/>
    <w:rsid w:val="007358AC"/>
    <w:rsid w:val="007645EC"/>
    <w:rsid w:val="00776FBF"/>
    <w:rsid w:val="00782356"/>
    <w:rsid w:val="00796C79"/>
    <w:rsid w:val="007A6BB3"/>
    <w:rsid w:val="007D4CAA"/>
    <w:rsid w:val="007E3E40"/>
    <w:rsid w:val="008024B4"/>
    <w:rsid w:val="0083312F"/>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92688"/>
    <w:rsid w:val="00AA1056"/>
    <w:rsid w:val="00AA2E20"/>
    <w:rsid w:val="00AA3894"/>
    <w:rsid w:val="00B06F01"/>
    <w:rsid w:val="00B22F72"/>
    <w:rsid w:val="00B35052"/>
    <w:rsid w:val="00BC2352"/>
    <w:rsid w:val="00BD7CE9"/>
    <w:rsid w:val="00C025A6"/>
    <w:rsid w:val="00C04494"/>
    <w:rsid w:val="00C05819"/>
    <w:rsid w:val="00C33C76"/>
    <w:rsid w:val="00C3769E"/>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AF48-2434-46D3-9B6D-73725329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HNSCTeach</cp:lastModifiedBy>
  <cp:revision>13</cp:revision>
  <dcterms:created xsi:type="dcterms:W3CDTF">2019-06-14T18:07:00Z</dcterms:created>
  <dcterms:modified xsi:type="dcterms:W3CDTF">2019-06-18T21:02:00Z</dcterms:modified>
</cp:coreProperties>
</file>