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B0" w:rsidRDefault="006C6F3E" w:rsidP="00546CA5">
      <w:bookmarkStart w:id="0" w:name="_GoBack"/>
      <w:bookmarkEnd w:id="0"/>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5000" w:type="pct"/>
        <w:tblLook w:val="04A0" w:firstRow="1" w:lastRow="0" w:firstColumn="1" w:lastColumn="0" w:noHBand="0" w:noVBand="1"/>
      </w:tblPr>
      <w:tblGrid>
        <w:gridCol w:w="3006"/>
        <w:gridCol w:w="7784"/>
      </w:tblGrid>
      <w:tr w:rsidR="006E53C2" w:rsidRPr="006E53C2" w:rsidTr="00C9681D">
        <w:trPr>
          <w:trHeight w:val="413"/>
        </w:trPr>
        <w:tc>
          <w:tcPr>
            <w:tcW w:w="1393" w:type="pct"/>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1" w:name="RANGE!A1"/>
            <w:r>
              <w:rPr>
                <w:rFonts w:ascii="Calibri" w:eastAsia="Times New Roman" w:hAnsi="Calibri" w:cs="Calibri"/>
                <w:b/>
                <w:bCs/>
                <w:color w:val="000000"/>
              </w:rPr>
              <w:t>Date</w:t>
            </w:r>
          </w:p>
        </w:tc>
        <w:tc>
          <w:tcPr>
            <w:tcW w:w="3607" w:type="pct"/>
            <w:tcBorders>
              <w:top w:val="single" w:sz="4" w:space="0" w:color="auto"/>
              <w:left w:val="nil"/>
              <w:bottom w:val="single" w:sz="4" w:space="0" w:color="auto"/>
              <w:right w:val="single" w:sz="4" w:space="0" w:color="auto"/>
            </w:tcBorders>
            <w:shd w:val="clear" w:color="auto" w:fill="auto"/>
            <w:vAlign w:val="center"/>
          </w:tcPr>
          <w:p w:rsidR="006E53C2" w:rsidRPr="006E53C2" w:rsidRDefault="00C9681D" w:rsidP="006E53C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June 14, 2019</w:t>
            </w:r>
          </w:p>
        </w:tc>
      </w:tr>
      <w:bookmarkEnd w:id="1"/>
      <w:tr w:rsidR="00292619" w:rsidRPr="006E53C2" w:rsidTr="00C9681D">
        <w:trPr>
          <w:trHeight w:val="332"/>
        </w:trPr>
        <w:tc>
          <w:tcPr>
            <w:tcW w:w="1393" w:type="pct"/>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3607" w:type="pct"/>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C9681D">
        <w:trPr>
          <w:trHeight w:val="638"/>
        </w:trPr>
        <w:tc>
          <w:tcPr>
            <w:tcW w:w="1393" w:type="pct"/>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3607" w:type="pct"/>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C9681D">
              <w:rPr>
                <w:rFonts w:ascii="Calibri" w:eastAsia="Times New Roman" w:hAnsi="Calibri" w:cs="Calibri"/>
                <w:b/>
                <w:bCs/>
                <w:color w:val="000000"/>
              </w:rPr>
              <w:t xml:space="preserve"> Performing and Visual Arts</w:t>
            </w:r>
          </w:p>
        </w:tc>
      </w:tr>
      <w:tr w:rsidR="006E53C2" w:rsidRPr="006E53C2" w:rsidTr="00C9681D">
        <w:trPr>
          <w:trHeight w:val="300"/>
        </w:trPr>
        <w:tc>
          <w:tcPr>
            <w:tcW w:w="1393" w:type="pct"/>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3607" w:type="pct"/>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C9681D"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Performing and Visual Arts</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C9681D">
        <w:trPr>
          <w:trHeight w:val="1232"/>
        </w:trPr>
        <w:tc>
          <w:tcPr>
            <w:tcW w:w="1393" w:type="pct"/>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3607" w:type="pct"/>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C9681D"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Music, Theatre, and Visual Art</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C9681D">
        <w:trPr>
          <w:trHeight w:val="1520"/>
        </w:trPr>
        <w:tc>
          <w:tcPr>
            <w:tcW w:w="1393"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3607" w:type="pct"/>
            <w:tcBorders>
              <w:top w:val="single" w:sz="4" w:space="0" w:color="auto"/>
              <w:left w:val="nil"/>
              <w:bottom w:val="single" w:sz="4" w:space="0" w:color="auto"/>
              <w:right w:val="single" w:sz="4" w:space="0" w:color="auto"/>
            </w:tcBorders>
            <w:shd w:val="clear" w:color="auto" w:fill="auto"/>
            <w:vAlign w:val="bottom"/>
            <w:hideMark/>
          </w:tcPr>
          <w:p w:rsidR="006C6F3E" w:rsidRDefault="00C9681D"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C9681D">
        <w:trPr>
          <w:trHeight w:val="1430"/>
        </w:trPr>
        <w:tc>
          <w:tcPr>
            <w:tcW w:w="1393" w:type="pct"/>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3607" w:type="pct"/>
            <w:tcBorders>
              <w:top w:val="single" w:sz="4" w:space="0" w:color="auto"/>
              <w:left w:val="nil"/>
              <w:bottom w:val="single" w:sz="4" w:space="0" w:color="auto"/>
              <w:right w:val="single" w:sz="4" w:space="0" w:color="auto"/>
            </w:tcBorders>
            <w:shd w:val="clear" w:color="auto" w:fill="auto"/>
            <w:vAlign w:val="bottom"/>
          </w:tcPr>
          <w:p w:rsidR="007A6BB3" w:rsidRDefault="00C9681D" w:rsidP="00C9681D">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Susan Rochester</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C9681D" w:rsidRDefault="00B06F01" w:rsidP="00C9681D">
            <w:pPr>
              <w:snapToGrid w:val="0"/>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C9681D">
              <w:rPr>
                <w:rFonts w:ascii="Calibri" w:eastAsia="Times New Roman" w:hAnsi="Calibri" w:cs="Calibri"/>
                <w:color w:val="000000"/>
              </w:rPr>
              <w:t xml:space="preserve">Visual Art: CLOs are measurable, but need editing and reduction. There are too many outcomes in some classes. </w:t>
            </w:r>
          </w:p>
          <w:p w:rsidR="00C9681D"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Music: CLOs need revision—many are not measurable. There are no outcomes for some courses, and most have not been revised for several years. </w:t>
            </w:r>
          </w:p>
          <w:p w:rsidR="00B06F01" w:rsidRPr="006E53C2"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Theatre: CLOs need revision and updating.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Default="00B06F01" w:rsidP="00C9681D">
            <w:pPr>
              <w:snapToGrid w:val="0"/>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C9681D">
              <w:rPr>
                <w:rFonts w:ascii="Calibri" w:eastAsia="Times New Roman" w:hAnsi="Calibri" w:cs="Calibri"/>
                <w:color w:val="000000"/>
              </w:rPr>
              <w:t>The PLOs are appropriate and well-written. Rubrics are in process.</w:t>
            </w:r>
          </w:p>
          <w:p w:rsidR="00C9681D" w:rsidRDefault="00C9681D" w:rsidP="00C9681D">
            <w:pPr>
              <w:snapToGrid w:val="0"/>
              <w:spacing w:after="0" w:line="240" w:lineRule="auto"/>
              <w:contextualSpacing w:val="0"/>
              <w:rPr>
                <w:rFonts w:ascii="Calibri" w:eastAsia="Times New Roman" w:hAnsi="Calibri" w:cs="Calibri"/>
                <w:color w:val="000000"/>
              </w:rPr>
            </w:pPr>
          </w:p>
          <w:p w:rsidR="00C9681D" w:rsidRDefault="00C9681D" w:rsidP="00C9681D">
            <w:pPr>
              <w:snapToGrid w:val="0"/>
              <w:spacing w:after="0" w:line="240" w:lineRule="auto"/>
              <w:contextualSpacing w:val="0"/>
              <w:rPr>
                <w:rFonts w:ascii="Calibri" w:eastAsia="Times New Roman" w:hAnsi="Calibri" w:cs="Calibri"/>
                <w:color w:val="000000"/>
              </w:rPr>
            </w:pPr>
          </w:p>
          <w:p w:rsidR="00C9681D" w:rsidRPr="006E53C2" w:rsidRDefault="00C9681D" w:rsidP="00C9681D">
            <w:pPr>
              <w:snapToGrid w:val="0"/>
              <w:spacing w:after="0" w:line="240" w:lineRule="auto"/>
              <w:contextualSpacing w:val="0"/>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Curriculum mapping is complete for the Music program’s transfer agreement with WOU. All areas need to be mapped to PLOs. </w:t>
            </w:r>
          </w:p>
          <w:p w:rsidR="00B06F01" w:rsidRDefault="00B06F01" w:rsidP="00C9681D">
            <w:pPr>
              <w:snapToGrid w:val="0"/>
              <w:spacing w:after="0" w:line="240" w:lineRule="auto"/>
              <w:contextualSpacing w:val="0"/>
              <w:rPr>
                <w:rFonts w:ascii="Calibri" w:eastAsia="Times New Roman" w:hAnsi="Calibri" w:cs="Calibri"/>
                <w:color w:val="000000"/>
              </w:rPr>
            </w:pPr>
          </w:p>
          <w:p w:rsidR="00B06F01" w:rsidRPr="006E53C2" w:rsidRDefault="00B06F01" w:rsidP="00C9681D">
            <w:pPr>
              <w:snapToGrid w:val="0"/>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Assessment evidence is collected in Art classes and discussed. Evidence is collected/recorded in Music and discussed. Theatre has no collection or review criteria in place at this time. In Art and Music, student work samples are collected and evaluated against rubric standards. </w:t>
            </w:r>
          </w:p>
          <w:p w:rsidR="00C9681D" w:rsidRDefault="00C9681D" w:rsidP="00C9681D">
            <w:pPr>
              <w:snapToGrid w:val="0"/>
              <w:spacing w:after="0" w:line="240" w:lineRule="auto"/>
              <w:contextualSpacing w:val="0"/>
              <w:rPr>
                <w:rFonts w:ascii="Calibri" w:eastAsia="Times New Roman" w:hAnsi="Calibri" w:cs="Calibri"/>
                <w:color w:val="000000"/>
              </w:rPr>
            </w:pPr>
          </w:p>
          <w:p w:rsidR="00C9681D" w:rsidRPr="006E53C2" w:rsidRDefault="00C9681D" w:rsidP="00C9681D">
            <w:pPr>
              <w:snapToGrid w:val="0"/>
              <w:spacing w:after="0" w:line="240" w:lineRule="auto"/>
              <w:contextualSpacing w:val="0"/>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In our department, student achievement is visible and audible. Faculty collect and evaluate visual art, and at the end of each term, Music students are juried by the music faculty to determine readiness for the next level. On an informal basis, we hear back from former students who have continued on to university programs and art schools. Across the board, we hear that we are preparing students well for their next steps. Students are also successfully employed in the arts in all areas.  </w:t>
            </w:r>
          </w:p>
          <w:p w:rsidR="00C9681D" w:rsidRDefault="00C9681D" w:rsidP="00C9681D">
            <w:pPr>
              <w:snapToGrid w:val="0"/>
              <w:spacing w:after="0" w:line="240" w:lineRule="auto"/>
              <w:contextualSpacing w:val="0"/>
              <w:rPr>
                <w:rFonts w:ascii="Calibri" w:eastAsia="Times New Roman" w:hAnsi="Calibri" w:cs="Calibri"/>
                <w:color w:val="000000"/>
              </w:rPr>
            </w:pPr>
          </w:p>
          <w:p w:rsidR="00C9681D" w:rsidRDefault="00C9681D" w:rsidP="00C9681D">
            <w:pPr>
              <w:snapToGrid w:val="0"/>
              <w:spacing w:after="0" w:line="240" w:lineRule="auto"/>
              <w:contextualSpacing w:val="0"/>
              <w:rPr>
                <w:rFonts w:ascii="Calibri" w:eastAsia="Times New Roman" w:hAnsi="Calibri" w:cs="Calibri"/>
                <w:color w:val="000000"/>
              </w:rPr>
            </w:pPr>
          </w:p>
          <w:p w:rsidR="00C9681D" w:rsidRPr="006E53C2" w:rsidRDefault="00C9681D" w:rsidP="00C9681D">
            <w:pPr>
              <w:snapToGrid w:val="0"/>
              <w:spacing w:after="0" w:line="240" w:lineRule="auto"/>
              <w:contextualSpacing w:val="0"/>
              <w:rPr>
                <w:rFonts w:ascii="Calibri" w:eastAsia="Times New Roman" w:hAnsi="Calibri" w:cs="Calibri"/>
                <w:color w:val="000000"/>
              </w:rPr>
            </w:pP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seldom have multiple sections of courses. When we do, assessments are standardized. Rubrics are used widely in all visual art classes. There is some rubric use in music, and rubrics will be developed in theatre. </w:t>
            </w:r>
          </w:p>
          <w:p w:rsidR="00C9681D" w:rsidRPr="006E53C2" w:rsidRDefault="00C9681D" w:rsidP="00C9681D">
            <w:pPr>
              <w:snapToGrid w:val="0"/>
              <w:spacing w:after="0" w:line="240" w:lineRule="auto"/>
              <w:contextualSpacing w:val="0"/>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C9681D" w:rsidP="00C9681D">
            <w:pPr>
              <w:snapToGrid w:val="0"/>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Five foundation level art courses have been thoroughly revised to better teach and evaluate relevant outcomes. Basic Design courses were shifted from three courses of 3 credits each to two courses of 4 credits each. This provides the opportunity to expand the depth of foundation learning in these classes. Significant elements of the discontinued Basic Design course have been incorporated across the curriculum in most courses. Most art courses have been recently revised in order to enhance teaching strategies—we have a significant number of students coming into our classes with no prior art instruction, so we have needed to revise how we teach. We have added ART 101 Intro to Art to help address this gap in prior instruction and provide students with necessary foundation skills. Music and theatre courses will be evaluated and revised over the next two years to determine the need for changes. Rubrics are being developed for all instructors to use for PLO assessment, and these will be rolled out over the 2019-2020 Academic Year. </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C9681D">
              <w:rPr>
                <w:rFonts w:ascii="Calibri" w:eastAsia="Times New Roman" w:hAnsi="Calibri" w:cs="Calibri"/>
                <w:color w:val="000000"/>
              </w:rPr>
              <w:t xml:space="preserve">ART: FTE is up by 2.49% for Spring, 2019. We are limited by our facilities, so cannot increase the number of classes offered nor the number of students within each class.  </w:t>
            </w:r>
          </w:p>
          <w:p w:rsidR="00C9681D" w:rsidRDefault="00C9681D" w:rsidP="00595BB7">
            <w:pPr>
              <w:spacing w:after="0" w:line="240" w:lineRule="auto"/>
              <w:contextualSpacing w:val="0"/>
              <w:rPr>
                <w:rFonts w:ascii="Calibri" w:eastAsia="Times New Roman" w:hAnsi="Calibri" w:cs="Calibri"/>
                <w:color w:val="000000"/>
              </w:rPr>
            </w:pPr>
          </w:p>
          <w:p w:rsidR="00C9681D" w:rsidRDefault="00C9681D"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Music Performance: FTE is down 37% for Spring, 2019. This area has wild fluctuations because of constant changes in how the State determines FTE calculations for noncredit students in performance groups. </w:t>
            </w:r>
          </w:p>
          <w:p w:rsidR="00C9681D" w:rsidRDefault="00C9681D" w:rsidP="00595BB7">
            <w:pPr>
              <w:spacing w:after="0" w:line="240" w:lineRule="auto"/>
              <w:contextualSpacing w:val="0"/>
              <w:rPr>
                <w:rFonts w:ascii="Calibri" w:eastAsia="Times New Roman" w:hAnsi="Calibri" w:cs="Calibri"/>
                <w:color w:val="000000"/>
              </w:rPr>
            </w:pPr>
          </w:p>
          <w:p w:rsidR="00C9681D" w:rsidRDefault="00C9681D"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Music: FTE is up 16%.</w:t>
            </w:r>
          </w:p>
          <w:p w:rsidR="00C9681D" w:rsidRDefault="00C9681D" w:rsidP="00595BB7">
            <w:pPr>
              <w:spacing w:after="0" w:line="240" w:lineRule="auto"/>
              <w:contextualSpacing w:val="0"/>
              <w:rPr>
                <w:rFonts w:ascii="Calibri" w:eastAsia="Times New Roman" w:hAnsi="Calibri" w:cs="Calibri"/>
                <w:color w:val="000000"/>
              </w:rPr>
            </w:pPr>
          </w:p>
          <w:p w:rsidR="00C9681D" w:rsidRDefault="00C9681D"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Theatre: N/A. This is a transitional year, with no director in place. Classes have been on hold until Fall 2019. </w:t>
            </w:r>
          </w:p>
          <w:p w:rsidR="00C9681D" w:rsidRDefault="00C9681D" w:rsidP="00595BB7">
            <w:pPr>
              <w:spacing w:after="0" w:line="240" w:lineRule="auto"/>
              <w:contextualSpacing w:val="0"/>
              <w:rPr>
                <w:rFonts w:ascii="Calibri" w:eastAsia="Times New Roman" w:hAnsi="Calibri" w:cs="Calibri"/>
                <w:color w:val="000000"/>
              </w:rPr>
            </w:pPr>
          </w:p>
          <w:p w:rsidR="00C9681D" w:rsidRDefault="00C9681D"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Factors for enrollment vary widely. It depends upon the advising students receive and awareness advisors have of our courses. It depends upon what has been available for students in K-12 programs—deep cuts to the arts eliminates awareness of the arts. </w:t>
            </w:r>
          </w:p>
          <w:p w:rsidR="00C9681D" w:rsidRDefault="00C9681D" w:rsidP="00595BB7">
            <w:pPr>
              <w:spacing w:after="0" w:line="240" w:lineRule="auto"/>
              <w:contextualSpacing w:val="0"/>
              <w:rPr>
                <w:rFonts w:ascii="Calibri" w:eastAsia="Times New Roman" w:hAnsi="Calibri" w:cs="Calibri"/>
                <w:color w:val="000000"/>
              </w:rPr>
            </w:pPr>
          </w:p>
          <w:p w:rsidR="00C9681D" w:rsidRPr="00C90187" w:rsidRDefault="00C9681D"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am reluctant to extrapolate much more than this because I am only operating with one term’s worth of FTE figures.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B7ABB">
              <w:rPr>
                <w:rFonts w:ascii="Calibri" w:eastAsia="Times New Roman" w:hAnsi="Calibri" w:cs="Calibri"/>
                <w:color w:val="000000"/>
              </w:rPr>
              <w:t xml:space="preserve">Music shows persistence and retention amongst the core group of students working towards transfer. As far as Art and non music majors go, the bulk of our students are taking courses as elective credit. It is unusual to see students for more than one or two classes. We are small departments, so reaching out directly to students is our usual response when someone seems to be struggling. We have a fairly typical student demographic. This past year, students trended a bit more towards traditional college age. We do find, increasingly, that students are arriving with no prior experience in the arts, so we have adjusted our instruction to incorporate building skills that used to be fairly innate in the typical student population.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B7ABB">
              <w:rPr>
                <w:rFonts w:ascii="Calibri" w:eastAsia="Times New Roman" w:hAnsi="Calibri" w:cs="Calibri"/>
                <w:color w:val="000000"/>
              </w:rPr>
              <w:t xml:space="preserve">We have to be cautious in when we schedule courses. We were hit hard with enrollment drops when both math and English added a credit to many of their offerings. This bit into key course scheduling times, as well as into credits students have available for other classes. We also only offer classes once per term, and most classes have specialized facility needs. This means it is a carefully constructed jigsaw puzzle that cannot easily be changed. We are at a point where, for the most part, courses fill. This is our best gauge of whether or not our course availability is fulfilling student needs. Art has four classes offered online, and these tend to fill first. This also impacts our face to face enrollment—students taking elective credit tend to gravitate to the online offerings first. When they are filled, the face to face classes then add enrollment. We would like to add a few more online offerings—one in theatre, and one or two more in art—but are on hold until online development is again approved.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B7ABB">
              <w:rPr>
                <w:rFonts w:ascii="Calibri" w:eastAsia="Times New Roman" w:hAnsi="Calibri" w:cs="Calibri"/>
                <w:color w:val="000000"/>
              </w:rPr>
              <w:t xml:space="preserve">Yes.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B7ABB">
              <w:rPr>
                <w:rFonts w:ascii="Calibri" w:eastAsia="Times New Roman" w:hAnsi="Calibri" w:cs="Calibri"/>
                <w:color w:val="000000"/>
              </w:rPr>
              <w:t xml:space="preserve">The Umpqua Singers tour almost weekly, visiting numerous schools over the course of the academic year. The art department meets with art faculty from throughout Douglas County. We also participate in open houses (Discover UCC and STEAM weekends). Theatre will be reaching out to area schools and establishing relationships with them. This has elevated our profile in the community, and we find increasingly that due to the high quality of our faculty, students are willing to begin their arts training here before transferring to four year institutions. </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B7ABB">
              <w:rPr>
                <w:rFonts w:ascii="Calibri" w:eastAsia="Times New Roman" w:hAnsi="Calibri" w:cs="Calibri"/>
                <w:color w:val="000000"/>
              </w:rPr>
              <w:t xml:space="preserve">FTE, observations of classes, and contact with alumni inform these decisions. We have also looked closely at program costs. Art and Music more than pay for themselves and support Theatre. As a department, we bring in more money in tuition and FTE than what we cost the college. </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AB7ABB" w:rsidRPr="004B0618" w:rsidRDefault="00AB7ABB" w:rsidP="00AB7ABB">
            <w:pPr>
              <w:rPr>
                <w:rFonts w:ascii="Times New Roman" w:eastAsia="Times New Roman" w:hAnsi="Times New Roman" w:cs="Times New Roman"/>
              </w:rPr>
            </w:pPr>
            <w:r>
              <w:rPr>
                <w:rFonts w:ascii="Arial" w:eastAsia="Times New Roman" w:hAnsi="Arial" w:cs="Arial"/>
                <w:color w:val="231F20"/>
                <w:spacing w:val="6"/>
              </w:rPr>
              <w:t>The</w:t>
            </w:r>
            <w:r w:rsidRPr="004B0618">
              <w:rPr>
                <w:rFonts w:ascii="Arial" w:eastAsia="Times New Roman" w:hAnsi="Arial" w:cs="Arial"/>
                <w:color w:val="231F20"/>
                <w:spacing w:val="6"/>
              </w:rPr>
              <w:t xml:space="preserve"> Department of </w:t>
            </w:r>
            <w:r>
              <w:rPr>
                <w:rFonts w:ascii="Arial" w:eastAsia="Times New Roman" w:hAnsi="Arial" w:cs="Arial"/>
                <w:color w:val="231F20"/>
                <w:spacing w:val="6"/>
              </w:rPr>
              <w:t>Performing and Visual Arts prepares students for future study and professional opportunities in the art</w:t>
            </w:r>
            <w:r w:rsidRPr="004B0618">
              <w:rPr>
                <w:rFonts w:ascii="Arial" w:eastAsia="Times New Roman" w:hAnsi="Arial" w:cs="Arial"/>
                <w:color w:val="231F20"/>
                <w:spacing w:val="6"/>
              </w:rPr>
              <w:t>s</w:t>
            </w:r>
            <w:r>
              <w:rPr>
                <w:rFonts w:ascii="Arial" w:eastAsia="Times New Roman" w:hAnsi="Arial" w:cs="Arial"/>
                <w:color w:val="231F20"/>
                <w:spacing w:val="6"/>
              </w:rPr>
              <w:t xml:space="preserve">, while providing nonmajors and lifelong learners opportunities for engagement in creative practice. The department is the primary creative hub for the campus and greater community, providing instruction, exhibits, and performances that enhance the quality of life and learning for our region. </w:t>
            </w:r>
          </w:p>
          <w:p w:rsidR="00AB7ABB" w:rsidRDefault="00AB7ABB" w:rsidP="00AB7ABB">
            <w:pPr>
              <w:shd w:val="clear" w:color="auto" w:fill="FFFFFF"/>
              <w:spacing w:after="240"/>
              <w:rPr>
                <w:rFonts w:ascii="Arial" w:eastAsia="Times New Roman" w:hAnsi="Arial" w:cs="Arial"/>
                <w:color w:val="231F20"/>
                <w:spacing w:val="6"/>
              </w:rPr>
            </w:pPr>
          </w:p>
          <w:p w:rsidR="00AB7ABB" w:rsidRPr="004B0618" w:rsidRDefault="00AB7ABB" w:rsidP="00AB7ABB">
            <w:pPr>
              <w:shd w:val="clear" w:color="auto" w:fill="FFFFFF"/>
              <w:spacing w:after="240"/>
              <w:rPr>
                <w:rFonts w:ascii="Arial" w:eastAsia="Times New Roman" w:hAnsi="Arial" w:cs="Arial"/>
                <w:color w:val="231F20"/>
                <w:spacing w:val="6"/>
              </w:rPr>
            </w:pPr>
            <w:r>
              <w:rPr>
                <w:rFonts w:ascii="Arial" w:eastAsia="Times New Roman" w:hAnsi="Arial" w:cs="Arial"/>
                <w:color w:val="231F20"/>
                <w:spacing w:val="6"/>
              </w:rPr>
              <w:t>Our vision is to:</w:t>
            </w:r>
          </w:p>
          <w:p w:rsidR="00AB7ABB" w:rsidRPr="004B0618" w:rsidRDefault="00AB7ABB" w:rsidP="00AB7ABB">
            <w:pPr>
              <w:numPr>
                <w:ilvl w:val="0"/>
                <w:numId w:val="13"/>
              </w:numPr>
              <w:shd w:val="clear" w:color="auto" w:fill="FFFFFF"/>
              <w:spacing w:before="100" w:beforeAutospacing="1" w:after="75" w:line="240" w:lineRule="auto"/>
              <w:ind w:left="375"/>
              <w:contextualSpacing w:val="0"/>
              <w:rPr>
                <w:rFonts w:ascii="Arial" w:eastAsia="Times New Roman" w:hAnsi="Arial" w:cs="Arial"/>
                <w:color w:val="231F20"/>
                <w:spacing w:val="6"/>
              </w:rPr>
            </w:pPr>
            <w:r w:rsidRPr="004B0618">
              <w:rPr>
                <w:rFonts w:ascii="Arial" w:eastAsia="Times New Roman" w:hAnsi="Arial" w:cs="Arial"/>
                <w:color w:val="231F20"/>
                <w:spacing w:val="6"/>
              </w:rPr>
              <w:t xml:space="preserve">Foster appreciation and critical awareness of </w:t>
            </w:r>
            <w:r>
              <w:rPr>
                <w:rFonts w:ascii="Arial" w:eastAsia="Times New Roman" w:hAnsi="Arial" w:cs="Arial"/>
                <w:color w:val="231F20"/>
                <w:spacing w:val="6"/>
              </w:rPr>
              <w:t xml:space="preserve">performing and </w:t>
            </w:r>
            <w:r w:rsidRPr="004B0618">
              <w:rPr>
                <w:rFonts w:ascii="Arial" w:eastAsia="Times New Roman" w:hAnsi="Arial" w:cs="Arial"/>
                <w:color w:val="231F20"/>
                <w:spacing w:val="6"/>
              </w:rPr>
              <w:t>visual arts.</w:t>
            </w:r>
          </w:p>
          <w:p w:rsidR="00AB7ABB" w:rsidRPr="004B0618" w:rsidRDefault="00AB7ABB" w:rsidP="00AB7ABB">
            <w:pPr>
              <w:numPr>
                <w:ilvl w:val="0"/>
                <w:numId w:val="13"/>
              </w:numPr>
              <w:shd w:val="clear" w:color="auto" w:fill="FFFFFF"/>
              <w:spacing w:before="100" w:beforeAutospacing="1" w:after="75" w:line="240" w:lineRule="auto"/>
              <w:ind w:left="375"/>
              <w:contextualSpacing w:val="0"/>
              <w:rPr>
                <w:rFonts w:ascii="Arial" w:eastAsia="Times New Roman" w:hAnsi="Arial" w:cs="Arial"/>
                <w:color w:val="231F20"/>
                <w:spacing w:val="6"/>
              </w:rPr>
            </w:pPr>
            <w:r w:rsidRPr="004B0618">
              <w:rPr>
                <w:rFonts w:ascii="Arial" w:eastAsia="Times New Roman" w:hAnsi="Arial" w:cs="Arial"/>
                <w:color w:val="231F20"/>
                <w:spacing w:val="6"/>
              </w:rPr>
              <w:t>Prepare students for further study and careers</w:t>
            </w:r>
            <w:r>
              <w:rPr>
                <w:rFonts w:ascii="Arial" w:eastAsia="Times New Roman" w:hAnsi="Arial" w:cs="Arial"/>
                <w:color w:val="231F20"/>
                <w:spacing w:val="6"/>
              </w:rPr>
              <w:t xml:space="preserve"> in performing and visual arts</w:t>
            </w:r>
            <w:r w:rsidRPr="004B0618">
              <w:rPr>
                <w:rFonts w:ascii="Arial" w:eastAsia="Times New Roman" w:hAnsi="Arial" w:cs="Arial"/>
                <w:color w:val="231F20"/>
                <w:spacing w:val="6"/>
              </w:rPr>
              <w:t>.</w:t>
            </w:r>
          </w:p>
          <w:p w:rsidR="00AB7ABB" w:rsidRDefault="00AB7ABB" w:rsidP="00AB7ABB">
            <w:pPr>
              <w:numPr>
                <w:ilvl w:val="0"/>
                <w:numId w:val="13"/>
              </w:numPr>
              <w:shd w:val="clear" w:color="auto" w:fill="FFFFFF"/>
              <w:spacing w:before="100" w:beforeAutospacing="1" w:after="75" w:line="240" w:lineRule="auto"/>
              <w:ind w:left="375"/>
              <w:contextualSpacing w:val="0"/>
              <w:rPr>
                <w:rFonts w:ascii="Arial" w:eastAsia="Times New Roman" w:hAnsi="Arial" w:cs="Arial"/>
                <w:color w:val="231F20"/>
                <w:spacing w:val="6"/>
              </w:rPr>
            </w:pPr>
            <w:r w:rsidRPr="004B0618">
              <w:rPr>
                <w:rFonts w:ascii="Arial" w:eastAsia="Times New Roman" w:hAnsi="Arial" w:cs="Arial"/>
                <w:color w:val="231F20"/>
                <w:spacing w:val="6"/>
              </w:rPr>
              <w:t>Educate students, faculty, administration, and community that the visual arts are intrinsically valuable to all engaged learners, that they inherently embody diverse individual, cultural, and philosophical expression, that they have the power to change the way in which we perceive things, and that they are the most direct way to vicariously transfer meaning and experience.</w:t>
            </w:r>
          </w:p>
          <w:p w:rsidR="00AB7ABB" w:rsidRDefault="00AB7ABB" w:rsidP="00AB7ABB">
            <w:pPr>
              <w:shd w:val="clear" w:color="auto" w:fill="FFFFFF"/>
              <w:spacing w:before="100" w:beforeAutospacing="1" w:after="75"/>
              <w:rPr>
                <w:rFonts w:ascii="Arial" w:eastAsia="Times New Roman" w:hAnsi="Arial" w:cs="Arial"/>
                <w:color w:val="231F20"/>
                <w:spacing w:val="6"/>
              </w:rPr>
            </w:pPr>
          </w:p>
          <w:p w:rsidR="00AB7ABB" w:rsidRPr="004B0618" w:rsidRDefault="00AB7ABB" w:rsidP="00AB7ABB">
            <w:pPr>
              <w:shd w:val="clear" w:color="auto" w:fill="FFFFFF"/>
              <w:spacing w:before="100" w:beforeAutospacing="1" w:after="75"/>
              <w:rPr>
                <w:rFonts w:ascii="Arial" w:eastAsia="Times New Roman" w:hAnsi="Arial" w:cs="Arial"/>
                <w:color w:val="231F20"/>
                <w:spacing w:val="6"/>
              </w:rPr>
            </w:pPr>
            <w:r>
              <w:rPr>
                <w:rFonts w:ascii="Arial" w:eastAsia="Times New Roman" w:hAnsi="Arial" w:cs="Arial"/>
                <w:color w:val="231F20"/>
                <w:spacing w:val="6"/>
              </w:rPr>
              <w:t>Students who complete our classes will be able to:</w:t>
            </w:r>
          </w:p>
          <w:p w:rsidR="00AB7ABB" w:rsidRDefault="00AB7ABB" w:rsidP="00AB7ABB"/>
          <w:p w:rsidR="00AB7ABB" w:rsidRDefault="00AB7ABB" w:rsidP="00AB7ABB">
            <w:pPr>
              <w:numPr>
                <w:ilvl w:val="0"/>
                <w:numId w:val="14"/>
              </w:numPr>
              <w:spacing w:after="0" w:line="0" w:lineRule="atLeast"/>
              <w:ind w:left="475"/>
              <w:contextualSpacing w:val="0"/>
              <w:textAlignment w:val="baseline"/>
              <w:rPr>
                <w:rFonts w:ascii="Helvetica" w:eastAsia="Times New Roman" w:hAnsi="Helvetica" w:cs="Times New Roman"/>
                <w:color w:val="000000"/>
              </w:rPr>
            </w:pPr>
            <w:r w:rsidRPr="004B0618">
              <w:rPr>
                <w:rFonts w:ascii="Helvetica" w:eastAsia="Times New Roman" w:hAnsi="Helvetica" w:cs="Times New Roman"/>
                <w:color w:val="000000"/>
              </w:rPr>
              <w:t xml:space="preserve">Critique work, verbally and in writing, using the language of the chosen discipline. </w:t>
            </w:r>
          </w:p>
          <w:p w:rsidR="00AB7ABB" w:rsidRPr="004B0618" w:rsidRDefault="00AB7ABB" w:rsidP="00AB7ABB">
            <w:pPr>
              <w:numPr>
                <w:ilvl w:val="0"/>
                <w:numId w:val="14"/>
              </w:numPr>
              <w:spacing w:after="0" w:line="0" w:lineRule="atLeast"/>
              <w:ind w:left="475"/>
              <w:contextualSpacing w:val="0"/>
              <w:textAlignment w:val="baseline"/>
              <w:rPr>
                <w:rFonts w:ascii="Helvetica" w:eastAsia="Times New Roman" w:hAnsi="Helvetica" w:cs="Times New Roman"/>
                <w:color w:val="000000"/>
              </w:rPr>
            </w:pPr>
            <w:r w:rsidRPr="004B0618">
              <w:rPr>
                <w:rFonts w:ascii="Helvetica" w:eastAsia="Times New Roman" w:hAnsi="Helvetica" w:cs="Times New Roman"/>
                <w:color w:val="000000"/>
              </w:rPr>
              <w:t>Describe and interpret, verbally and in writing, their own and other's work in the chosen discipline.</w:t>
            </w:r>
          </w:p>
          <w:p w:rsidR="00AB7ABB" w:rsidRPr="004B0618" w:rsidRDefault="00AB7ABB" w:rsidP="00AB7ABB">
            <w:pPr>
              <w:numPr>
                <w:ilvl w:val="0"/>
                <w:numId w:val="14"/>
              </w:numPr>
              <w:spacing w:after="0" w:line="0" w:lineRule="atLeast"/>
              <w:ind w:left="475"/>
              <w:contextualSpacing w:val="0"/>
              <w:textAlignment w:val="baseline"/>
              <w:rPr>
                <w:rFonts w:ascii="Helvetica" w:eastAsia="Times New Roman" w:hAnsi="Helvetica" w:cs="Times New Roman"/>
                <w:color w:val="000000"/>
              </w:rPr>
            </w:pPr>
            <w:r w:rsidRPr="004B0618">
              <w:rPr>
                <w:rFonts w:ascii="Helvetica" w:eastAsia="Times New Roman" w:hAnsi="Helvetica" w:cs="Times New Roman"/>
                <w:color w:val="000000"/>
              </w:rPr>
              <w:t>Create a body of work that demonstrates mastery of skills and personal development within the chosen disciplin</w:t>
            </w:r>
            <w:r>
              <w:rPr>
                <w:rFonts w:ascii="Helvetica" w:eastAsia="Times New Roman" w:hAnsi="Helvetica" w:cs="Times New Roman"/>
                <w:color w:val="000000"/>
              </w:rPr>
              <w:t>e and specific media.</w:t>
            </w:r>
          </w:p>
          <w:p w:rsidR="00AB7ABB" w:rsidRPr="004B0618" w:rsidRDefault="00AB7ABB" w:rsidP="00AB7ABB">
            <w:pPr>
              <w:numPr>
                <w:ilvl w:val="0"/>
                <w:numId w:val="14"/>
              </w:numPr>
              <w:spacing w:after="0" w:line="0" w:lineRule="atLeast"/>
              <w:ind w:left="475"/>
              <w:contextualSpacing w:val="0"/>
              <w:textAlignment w:val="baseline"/>
              <w:rPr>
                <w:rFonts w:ascii="Helvetica" w:eastAsia="Times New Roman" w:hAnsi="Helvetica" w:cs="Times New Roman"/>
                <w:color w:val="000000"/>
              </w:rPr>
            </w:pPr>
            <w:r w:rsidRPr="004B0618">
              <w:rPr>
                <w:rFonts w:ascii="Helvetica" w:eastAsia="Times New Roman" w:hAnsi="Helvetica" w:cs="Times New Roman"/>
                <w:color w:val="000000"/>
              </w:rPr>
              <w:t>Integrate knowledge of the chosen discipline with understanding of the social, historical and aesthetic context of artistic work.</w:t>
            </w:r>
          </w:p>
          <w:p w:rsidR="00AB7ABB" w:rsidRPr="004B0618" w:rsidRDefault="00AB7ABB" w:rsidP="00AB7ABB">
            <w:pPr>
              <w:numPr>
                <w:ilvl w:val="0"/>
                <w:numId w:val="14"/>
              </w:numPr>
              <w:spacing w:after="0" w:line="0" w:lineRule="atLeast"/>
              <w:ind w:left="475"/>
              <w:contextualSpacing w:val="0"/>
              <w:textAlignment w:val="baseline"/>
              <w:rPr>
                <w:rFonts w:ascii="Helvetica" w:eastAsia="Times New Roman" w:hAnsi="Helvetica" w:cs="Times New Roman"/>
                <w:color w:val="000000"/>
              </w:rPr>
            </w:pPr>
            <w:r w:rsidRPr="004B0618">
              <w:rPr>
                <w:rFonts w:ascii="Helvetica" w:eastAsia="Times New Roman" w:hAnsi="Helvetica" w:cs="Times New Roman"/>
                <w:color w:val="000000"/>
              </w:rPr>
              <w:t>Describe educational and vocational opportunities and options in the chosen discipline.</w:t>
            </w:r>
          </w:p>
          <w:p w:rsidR="00AB7ABB" w:rsidRDefault="00AB7ABB" w:rsidP="00AB7ABB"/>
          <w:p w:rsidR="00DF2F8B" w:rsidRDefault="00DF2F8B" w:rsidP="00DF2F8B">
            <w:pPr>
              <w:spacing w:after="0" w:line="240" w:lineRule="auto"/>
              <w:contextualSpacing w:val="0"/>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AB7ABB"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 we are fulfilling our mission. We know this from:</w:t>
            </w:r>
          </w:p>
          <w:p w:rsidR="00AB7ABB" w:rsidRDefault="00AB7ABB" w:rsidP="00AB7AB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Outcomes assessment in our courses and participation in our events (measured through ticket sales). </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AB7ABB"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PVA fully supports the College’s mission, Strategic Plan, and Goals. We provide high quality educational content delivered by highly qualified, nationally recognized faculty. We help forge connections with our community through our programming, providing dozens of opportunities each year for community enrichment via performances and exhibits. And finally, our courses are especially pertinent for students who seek to become lifelong learners—we teach skills that enrich people throughout their lives. </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AB7A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Department chair will lead faculty in evaluating and updating CLOs. We will continue mapping our curriculum to PLOs and ULOs. FT faculty will complete one CLO. A schedule for CLO assessment will be established in all three areas. *If AAOT LOs have been developed by this point, we will also determine which courses best support these LOS and will schedule these assessments. </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AB7A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term, CLOS will be evaluated and updated as needed, and assessments will be revised as necessary. Faculty will continue to collect CLOs and PLOS according the established schedule. Results will be discussed and changes made as deemed necessary. </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AB7A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term, CLOS will be evaluated and updated as needed, and assessments will be revised as necessary. Faculty will continue to collect CLOs and PLOS according the established schedule. Results will be discussed and changes made as deemed necessary.</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AB7A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Winter term faculty will work to develop rubrics for two PLOs. FT faculty will complete one CLO and one PLO. PT faculty may complete one CLO, depending upon their teaching assignment and the CLO schedule. Faculty will meet to discuss the results of CLO assessments.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AB7A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Each term, faculty will review Course Learning Outcomes and propose revisions as necessary. PLOs will be evaluated and revised as well. </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AB7A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Each term, faculty will review Course Learning Outcomes and propose revisions as necessary. PLOs will be evaluated and revised as well.</w:t>
            </w:r>
          </w:p>
        </w:tc>
      </w:tr>
      <w:tr w:rsidR="00AB7AB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Spring term faculty will develop rubrics for two PLOs. FT faculty will complete one CLO and one PLO. PT faculty will complete one CLO and one PLO. Faculty will meet to discuss the results of PLO assessments.</w:t>
            </w:r>
          </w:p>
        </w:tc>
        <w:tc>
          <w:tcPr>
            <w:tcW w:w="4837" w:type="dxa"/>
            <w:tcBorders>
              <w:top w:val="nil"/>
              <w:left w:val="nil"/>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All FT faculty will produce one CLO, one PLO, and/or one AAOT LO per term. PT faculty will complete one per term according to assessment calendar.  </w:t>
            </w:r>
          </w:p>
        </w:tc>
        <w:tc>
          <w:tcPr>
            <w:tcW w:w="4784" w:type="dxa"/>
            <w:tcBorders>
              <w:top w:val="nil"/>
              <w:left w:val="nil"/>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All FT faculty will produce one CLO, one PLO, and/or one AAOT LO per term. PT faculty will complete one per term according to assessment calendar.  </w:t>
            </w:r>
          </w:p>
        </w:tc>
      </w:tr>
      <w:tr w:rsidR="00AB7AB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By the end of spring term, all faculty will develop one CLO assessment, one PLO assessment, and one AAOT LO assessment. </w:t>
            </w:r>
          </w:p>
        </w:tc>
        <w:tc>
          <w:tcPr>
            <w:tcW w:w="4837" w:type="dxa"/>
            <w:tcBorders>
              <w:top w:val="nil"/>
              <w:left w:val="nil"/>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p>
        </w:tc>
      </w:tr>
      <w:tr w:rsidR="00AB7AB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AB7ABB" w:rsidRPr="00DF2F8B" w:rsidRDefault="00AB7ABB" w:rsidP="00AB7AB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B7ABB"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We primarily need time as a department.</w:t>
            </w: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C7" w:rsidRDefault="003F6CC7" w:rsidP="00E87CE5">
      <w:pPr>
        <w:spacing w:after="0" w:line="240" w:lineRule="auto"/>
      </w:pPr>
      <w:r>
        <w:separator/>
      </w:r>
    </w:p>
  </w:endnote>
  <w:endnote w:type="continuationSeparator" w:id="0">
    <w:p w:rsidR="003F6CC7" w:rsidRDefault="003F6CC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825A22">
          <w:rPr>
            <w:noProof/>
          </w:rPr>
          <w:t>10</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C7" w:rsidRDefault="003F6CC7" w:rsidP="00E87CE5">
      <w:pPr>
        <w:spacing w:after="0" w:line="240" w:lineRule="auto"/>
      </w:pPr>
      <w:r>
        <w:separator/>
      </w:r>
    </w:p>
  </w:footnote>
  <w:footnote w:type="continuationSeparator" w:id="0">
    <w:p w:rsidR="003F6CC7" w:rsidRDefault="003F6CC7"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D5C"/>
    <w:multiLevelType w:val="multilevel"/>
    <w:tmpl w:val="254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D738C"/>
    <w:multiLevelType w:val="multilevel"/>
    <w:tmpl w:val="2920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2"/>
  </w:num>
  <w:num w:numId="5">
    <w:abstractNumId w:val="9"/>
  </w:num>
  <w:num w:numId="6">
    <w:abstractNumId w:val="10"/>
  </w:num>
  <w:num w:numId="7">
    <w:abstractNumId w:val="3"/>
  </w:num>
  <w:num w:numId="8">
    <w:abstractNumId w:val="5"/>
  </w:num>
  <w:num w:numId="9">
    <w:abstractNumId w:val="4"/>
  </w:num>
  <w:num w:numId="10">
    <w:abstractNumId w:val="6"/>
  </w:num>
  <w:num w:numId="11">
    <w:abstractNumId w:val="1"/>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3F6CC7"/>
    <w:rsid w:val="0043376E"/>
    <w:rsid w:val="004F18DB"/>
    <w:rsid w:val="00521C7B"/>
    <w:rsid w:val="005326DC"/>
    <w:rsid w:val="00546CA5"/>
    <w:rsid w:val="0056240F"/>
    <w:rsid w:val="0058345E"/>
    <w:rsid w:val="00595BB7"/>
    <w:rsid w:val="005B3101"/>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25A22"/>
    <w:rsid w:val="0083312F"/>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AB7ABB"/>
    <w:rsid w:val="00B06F01"/>
    <w:rsid w:val="00B22F72"/>
    <w:rsid w:val="00B35052"/>
    <w:rsid w:val="00BC2352"/>
    <w:rsid w:val="00BD7CE9"/>
    <w:rsid w:val="00C04494"/>
    <w:rsid w:val="00C05819"/>
    <w:rsid w:val="00C33C76"/>
    <w:rsid w:val="00C63B5A"/>
    <w:rsid w:val="00C75E5E"/>
    <w:rsid w:val="00C9681D"/>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CEA4-C308-47BE-981F-2C6096EA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18242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Emily Fiocco</cp:lastModifiedBy>
  <cp:revision>2</cp:revision>
  <dcterms:created xsi:type="dcterms:W3CDTF">2019-06-18T23:10:00Z</dcterms:created>
  <dcterms:modified xsi:type="dcterms:W3CDTF">2019-06-18T23:10:00Z</dcterms:modified>
</cp:coreProperties>
</file>